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электронного обучения с применением дистанционных технологий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ущиной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375"/>
        <w:gridCol w:w="1013"/>
        <w:gridCol w:w="1846"/>
        <w:gridCol w:w="2373"/>
        <w:gridCol w:w="2742"/>
        <w:tblGridChange w:id="0">
          <w:tblGrid>
            <w:gridCol w:w="1375"/>
            <w:gridCol w:w="1013"/>
            <w:gridCol w:w="1846"/>
            <w:gridCol w:w="2373"/>
            <w:gridCol w:w="2742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Ресурс для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181818" w:space="0" w:sz="4" w:val="single"/>
              <w:bottom w:color="181818" w:space="0" w:sz="4" w:val="single"/>
              <w:right w:color="181818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Особенности текста-рассуждения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181818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3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81818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52.00000000000003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Составные высказывания. Числовые равенства и неравенства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27.1 Комплексы физических упражнений для профилактики и коррекции нарушений осанки. (1-й из 1 ч.)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Каникулы в Великобритании и России. Формирование навыков аудирования, чтения и говорения. (1-й из 1 ч.)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почта, аудиозаписи Sportlight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708"/>
              </w:tabs>
              <w:spacing w:after="0" w:before="240" w:line="252.00000000000003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Пушкин «Сказка о рыбаке и рыбке» </w:t>
            </w:r>
          </w:p>
          <w:p w:rsidR="00000000" w:rsidDel="00000000" w:rsidP="00000000" w:rsidRDefault="00000000" w:rsidRPr="00000000" w14:paraId="0000002A">
            <w:pPr>
              <w:tabs>
                <w:tab w:val="left" w:pos="708"/>
              </w:tabs>
              <w:spacing w:after="0" w:before="240" w:line="252.00000000000003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708"/>
              </w:tabs>
              <w:spacing w:after="0" w:before="24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Пушкин «Сказка о рыбаке и рыбке» (продолжение)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Словарный диктант.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Описание. Повествование. Рассуждение.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 готовых материалов на цифровых носителях.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Английский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708"/>
              </w:tabs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Фольклор страны изучаемого языка. Формирование навыка аудирования и чтения. (1-й из 1 ч.)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hd w:fill="auto" w:val="clear"/>
              <w:tabs>
                <w:tab w:val="left" w:pos="708"/>
              </w:tabs>
              <w:spacing w:after="0" w:before="0" w:line="252.0000000000000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эл. почта, аудиозаписи Sportlight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16.50 – 17.10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252.00000000000003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Понятие высказывания. Примеры истинных и ложных высказываний.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«ЯндексУчебник»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Рассылка по электронной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Четверг, 14 мая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– 13.50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31.1 Бег с изменением направления, «змейкой», с изменяющимся ускорением. Удержание верхом (самбо).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Рассылка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 – 14.40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Кубановедение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Красный угол. Икона.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 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15.10 – 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Обозначение звуков речи на письме.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“Яндекс.Учебник”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– 16.20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несложных комбинаторных задач и задач логического характера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“Яндекс.Учебник”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16.50-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Пушкин «Сказка о попе и работнике его балде»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Пятница, 15 мая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13.30 - 13.50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Правописание частей слова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“Яндекс.Учебник”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14.20 - 14.40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Исторически сложившиеся музыкальные формы — двухчастная. Исторически сложившиеся музыкальные формы — трёхчастная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1) https://sgo.rso23.ru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2) электронная почта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0"/>
                <w:szCs w:val="20"/>
                <w:u w:val="single"/>
                <w:rtl w:val="0"/>
              </w:rPr>
              <w:t xml:space="preserve">3) мессенджеры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15.10 - 15.30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Индийская сказка «Золотая рыба»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16.00 - 16.20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before="24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Писатель-художник-книга. Декоративное оформление книги. 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u w:val="single"/>
                <w:rtl w:val="0"/>
              </w:rPr>
              <w:t xml:space="preserve">Рассылка по электронной почте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https://sgo.rso23.ru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sgo.rso23.ru" TargetMode="External"/><Relationship Id="rId10" Type="http://schemas.openxmlformats.org/officeDocument/2006/relationships/hyperlink" Target="https://sgo.rso23.ru" TargetMode="External"/><Relationship Id="rId13" Type="http://schemas.openxmlformats.org/officeDocument/2006/relationships/hyperlink" Target="https://sgo.rso23.ru" TargetMode="External"/><Relationship Id="rId12" Type="http://schemas.openxmlformats.org/officeDocument/2006/relationships/hyperlink" Target="https://sgo.rso23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go.rso23.ru" TargetMode="External"/><Relationship Id="rId15" Type="http://schemas.openxmlformats.org/officeDocument/2006/relationships/hyperlink" Target="https://sgo.rso23.ru" TargetMode="External"/><Relationship Id="rId14" Type="http://schemas.openxmlformats.org/officeDocument/2006/relationships/hyperlink" Target="https://sgo.rso23.ru" TargetMode="External"/><Relationship Id="rId17" Type="http://schemas.openxmlformats.org/officeDocument/2006/relationships/hyperlink" Target="https://sgo.rso23.ru" TargetMode="External"/><Relationship Id="rId16" Type="http://schemas.openxmlformats.org/officeDocument/2006/relationships/hyperlink" Target="https://sgo.rso23.ru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sgo.rso23.ru" TargetMode="External"/><Relationship Id="rId18" Type="http://schemas.openxmlformats.org/officeDocument/2006/relationships/hyperlink" Target="https://sgo.rso23.ru" TargetMode="External"/><Relationship Id="rId7" Type="http://schemas.openxmlformats.org/officeDocument/2006/relationships/hyperlink" Target="https://sgo.rso23.ru" TargetMode="External"/><Relationship Id="rId8" Type="http://schemas.openxmlformats.org/officeDocument/2006/relationships/hyperlink" Target="https://sgo.rso23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